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0437">
        <w:rPr>
          <w:rFonts w:ascii="Times New Roman" w:hAnsi="Times New Roman"/>
          <w:sz w:val="24"/>
          <w:szCs w:val="24"/>
        </w:rPr>
        <w:t>Града</w:t>
      </w:r>
      <w:proofErr w:type="spellEnd"/>
      <w:r w:rsidR="00000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0437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000437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51.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40/13) </w:t>
      </w:r>
      <w:r w:rsidRPr="0022399C">
        <w:rPr>
          <w:rFonts w:ascii="Times New Roman" w:hAnsi="Times New Roman"/>
          <w:sz w:val="24"/>
          <w:szCs w:val="24"/>
          <w:lang w:val="sr-Cyrl-CS"/>
        </w:rPr>
        <w:t>и на основу члана 1</w:t>
      </w:r>
      <w:proofErr w:type="spellStart"/>
      <w:r w:rsidRPr="0022399C">
        <w:rPr>
          <w:rFonts w:ascii="Times New Roman" w:hAnsi="Times New Roman"/>
          <w:sz w:val="24"/>
          <w:szCs w:val="24"/>
        </w:rPr>
        <w:t>1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остваривања права на доделу средстава из буџета Општине Владичин Хан за програме и пројекте од јавног интереса које реализују удружења („Службени гласник Града Врања“, број 20/2018), разматрајући предлог Комисије за </w:t>
      </w:r>
      <w:r w:rsidR="00B6345A">
        <w:rPr>
          <w:rFonts w:ascii="Times New Roman" w:hAnsi="Times New Roman"/>
          <w:sz w:val="24"/>
          <w:szCs w:val="24"/>
          <w:lang/>
        </w:rPr>
        <w:t>спровђење јавног конкурса за реализацију пројекта програма од јавног интереса у области омладинске политике који се финасирају или суфинасирају средствима буџета општине Владичин Хан за 2019. годину</w:t>
      </w:r>
      <w:r w:rsidR="000004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по расписаном </w:t>
      </w:r>
      <w:r w:rsidR="00000437">
        <w:rPr>
          <w:rFonts w:ascii="Times New Roman" w:hAnsi="Times New Roman"/>
          <w:sz w:val="24"/>
          <w:szCs w:val="24"/>
          <w:lang w:val="sr-Cyrl-CS"/>
        </w:rPr>
        <w:t xml:space="preserve">јавном конкурсу </w:t>
      </w:r>
      <w:r w:rsidR="00B6345A">
        <w:rPr>
          <w:rFonts w:ascii="Times New Roman" w:hAnsi="Times New Roman"/>
          <w:sz w:val="24"/>
          <w:szCs w:val="24"/>
          <w:lang w:val="sr-Cyrl-CS"/>
        </w:rPr>
        <w:t xml:space="preserve">за реализацију пројеката/програма  од јавног интереса у области омладинске политике који се </w:t>
      </w:r>
      <w:proofErr w:type="spellStart"/>
      <w:r w:rsidR="00B6345A">
        <w:rPr>
          <w:rFonts w:ascii="Times New Roman" w:hAnsi="Times New Roman"/>
          <w:sz w:val="24"/>
          <w:szCs w:val="24"/>
          <w:lang w:val="sr-Cyrl-CS"/>
        </w:rPr>
        <w:t>финасирају</w:t>
      </w:r>
      <w:proofErr w:type="spellEnd"/>
      <w:r w:rsidR="00B6345A">
        <w:rPr>
          <w:rFonts w:ascii="Times New Roman" w:hAnsi="Times New Roman"/>
          <w:sz w:val="24"/>
          <w:szCs w:val="24"/>
          <w:lang w:val="sr-Cyrl-CS"/>
        </w:rPr>
        <w:t xml:space="preserve"> средствима из буџета Општине Владичин Хан за </w:t>
      </w:r>
      <w:r w:rsidR="00000437">
        <w:rPr>
          <w:rFonts w:ascii="Times New Roman" w:hAnsi="Times New Roman"/>
          <w:sz w:val="24"/>
          <w:szCs w:val="24"/>
          <w:lang w:val="sr-Cyrl-CS"/>
        </w:rPr>
        <w:t xml:space="preserve">2019. </w:t>
      </w:r>
      <w:r w:rsidR="00B6345A">
        <w:rPr>
          <w:rFonts w:ascii="Times New Roman" w:hAnsi="Times New Roman"/>
          <w:sz w:val="24"/>
          <w:szCs w:val="24"/>
          <w:lang w:val="sr-Cyrl-CS"/>
        </w:rPr>
        <w:t>Г</w:t>
      </w:r>
      <w:r w:rsidR="00000437">
        <w:rPr>
          <w:rFonts w:ascii="Times New Roman" w:hAnsi="Times New Roman"/>
          <w:sz w:val="24"/>
          <w:szCs w:val="24"/>
          <w:lang w:val="sr-Cyrl-CS"/>
        </w:rPr>
        <w:t>одину</w:t>
      </w:r>
      <w:r w:rsidR="00B6345A">
        <w:rPr>
          <w:rFonts w:ascii="Times New Roman" w:hAnsi="Times New Roman"/>
          <w:sz w:val="24"/>
          <w:szCs w:val="24"/>
          <w:lang w:val="sr-Cyrl-CS"/>
        </w:rPr>
        <w:t xml:space="preserve"> који је расписан 27.02.2019.године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000437">
        <w:rPr>
          <w:rFonts w:ascii="Times New Roman" w:hAnsi="Times New Roman"/>
          <w:sz w:val="24"/>
          <w:szCs w:val="24"/>
          <w:lang w:val="sr-Cyrl-CS"/>
        </w:rPr>
        <w:t>20.05.</w:t>
      </w:r>
      <w:r w:rsidRPr="0022399C">
        <w:rPr>
          <w:rFonts w:ascii="Times New Roman" w:hAnsi="Times New Roman"/>
          <w:sz w:val="24"/>
          <w:szCs w:val="24"/>
          <w:lang w:val="sr-Cyrl-CS"/>
        </w:rPr>
        <w:t>.2019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6CB" w:rsidRDefault="001F06CB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7454" w:rsidRPr="00C2360E" w:rsidRDefault="00477454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C64D2E" w:rsidRDefault="00D019D1" w:rsidP="00D019D1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РАСПОДЕЛИ СРЕДСТАВА ЗА РЕАЛИЗАЦИЈУ ПРОЈЕКАТА /ПРОГРАМА ОД ЈАВНОГ ИНТЕРЕСА У ОБЛАСТИ ОМЛАДИНСКА ПОЛИТИКА КОЈИ СЕ ФИНАСИРАЈУ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/СУФИНАСИРАЈУ СРЕДСТВИМА ИЗ БУЏЕТА ОПШТИНЕ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b/>
          <w:sz w:val="24"/>
          <w:szCs w:val="24"/>
          <w:lang w:val="sr-Cyrl-CS"/>
        </w:rPr>
        <w:t>ЗА 201</w:t>
      </w:r>
      <w:r w:rsidR="005C0B0D">
        <w:rPr>
          <w:rFonts w:ascii="Times New Roman" w:hAnsi="Times New Roman"/>
          <w:b/>
          <w:sz w:val="24"/>
          <w:szCs w:val="24"/>
        </w:rPr>
        <w:t>9</w:t>
      </w:r>
      <w:r w:rsidR="00C64D2E"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1F06CB" w:rsidRPr="00C2360E" w:rsidRDefault="001F06CB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F06CB" w:rsidRPr="001F06CB" w:rsidRDefault="00BB43B0" w:rsidP="001F06C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DD4EB0" w:rsidRPr="00042BCD">
        <w:rPr>
          <w:rFonts w:ascii="Times New Roman" w:hAnsi="Times New Roman"/>
          <w:b/>
          <w:sz w:val="24"/>
          <w:szCs w:val="24"/>
          <w:lang w:val="sr-Cyrl-CS"/>
        </w:rPr>
        <w:t>ОДОБРАВАЈУ СЕ</w:t>
      </w:r>
      <w:r w:rsidR="00DD4EB0">
        <w:rPr>
          <w:rFonts w:ascii="Times New Roman" w:hAnsi="Times New Roman"/>
          <w:sz w:val="24"/>
          <w:szCs w:val="24"/>
          <w:lang w:val="sr-Cyrl-CS"/>
        </w:rPr>
        <w:t xml:space="preserve"> средства из буџета Општине Владичин Хан по спроведеном Јавном конкурсу </w:t>
      </w:r>
      <w:r w:rsidR="00D019D1">
        <w:rPr>
          <w:rFonts w:ascii="Times New Roman" w:hAnsi="Times New Roman"/>
          <w:sz w:val="24"/>
          <w:szCs w:val="24"/>
          <w:lang w:val="sr-Cyrl-CS"/>
        </w:rPr>
        <w:t xml:space="preserve">за реализацију пројекта/програма од јавног интереса у области омладинске политике који се </w:t>
      </w:r>
      <w:proofErr w:type="spellStart"/>
      <w:r w:rsidR="00D019D1">
        <w:rPr>
          <w:rFonts w:ascii="Times New Roman" w:hAnsi="Times New Roman"/>
          <w:sz w:val="24"/>
          <w:szCs w:val="24"/>
          <w:lang w:val="sr-Cyrl-CS"/>
        </w:rPr>
        <w:t>финасирају</w:t>
      </w:r>
      <w:proofErr w:type="spellEnd"/>
      <w:r w:rsidR="00D019D1">
        <w:rPr>
          <w:rFonts w:ascii="Times New Roman" w:hAnsi="Times New Roman"/>
          <w:sz w:val="24"/>
          <w:szCs w:val="24"/>
          <w:lang w:val="sr-Cyrl-CS"/>
        </w:rPr>
        <w:t xml:space="preserve"> / </w:t>
      </w:r>
      <w:proofErr w:type="spellStart"/>
      <w:r w:rsidR="00D019D1">
        <w:rPr>
          <w:rFonts w:ascii="Times New Roman" w:hAnsi="Times New Roman"/>
          <w:sz w:val="24"/>
          <w:szCs w:val="24"/>
          <w:lang w:val="sr-Cyrl-CS"/>
        </w:rPr>
        <w:t>суфинасирју</w:t>
      </w:r>
      <w:proofErr w:type="spellEnd"/>
      <w:r w:rsidR="00D019D1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2019. годину </w:t>
      </w:r>
      <w:r w:rsidR="00DD4EB0">
        <w:rPr>
          <w:rFonts w:ascii="Times New Roman" w:hAnsi="Times New Roman"/>
          <w:sz w:val="24"/>
          <w:szCs w:val="24"/>
          <w:lang w:val="sr-Cyrl-CS"/>
        </w:rPr>
        <w:t xml:space="preserve">који је објављен дана </w:t>
      </w:r>
      <w:r w:rsidR="00D019D1">
        <w:rPr>
          <w:rFonts w:ascii="Times New Roman" w:hAnsi="Times New Roman"/>
          <w:sz w:val="24"/>
          <w:szCs w:val="24"/>
          <w:lang w:val="sr-Cyrl-CS"/>
        </w:rPr>
        <w:t>27.02</w:t>
      </w:r>
      <w:r w:rsidR="00DD4EB0">
        <w:rPr>
          <w:rFonts w:ascii="Times New Roman" w:hAnsi="Times New Roman"/>
          <w:sz w:val="24"/>
          <w:szCs w:val="24"/>
          <w:lang w:val="sr-Cyrl-CS"/>
        </w:rPr>
        <w:t>.2019. године и то:</w:t>
      </w:r>
    </w:p>
    <w:p w:rsidR="00C73B13" w:rsidRPr="001F06CB" w:rsidRDefault="00F0027E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340"/>
        <w:gridCol w:w="3780"/>
        <w:gridCol w:w="2160"/>
      </w:tblGrid>
      <w:tr w:rsidR="00DD4EB0" w:rsidRPr="00C2360E" w:rsidTr="002A50A0">
        <w:trPr>
          <w:trHeight w:val="872"/>
        </w:trPr>
        <w:tc>
          <w:tcPr>
            <w:tcW w:w="450" w:type="dxa"/>
          </w:tcPr>
          <w:p w:rsidR="00DD4EB0" w:rsidRDefault="00DD4EB0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DD4EB0" w:rsidRPr="000B774D" w:rsidRDefault="00DD4EB0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340" w:type="dxa"/>
          </w:tcPr>
          <w:p w:rsidR="00DD4EB0" w:rsidRPr="00897C15" w:rsidRDefault="00DD4EB0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3780" w:type="dxa"/>
          </w:tcPr>
          <w:p w:rsidR="00DD4EB0" w:rsidRPr="00897C15" w:rsidRDefault="00DD4EB0" w:rsidP="005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2160" w:type="dxa"/>
          </w:tcPr>
          <w:p w:rsidR="00DD4EB0" w:rsidRPr="00897C15" w:rsidRDefault="00DD4EB0" w:rsidP="00477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Износ</w:t>
            </w:r>
          </w:p>
          <w:p w:rsidR="00DD4EB0" w:rsidRPr="00897C15" w:rsidRDefault="00DD4EB0" w:rsidP="00477454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додељених средстава</w:t>
            </w:r>
          </w:p>
        </w:tc>
      </w:tr>
      <w:tr w:rsidR="00DD4EB0" w:rsidRPr="00C2360E" w:rsidTr="002A50A0">
        <w:tc>
          <w:tcPr>
            <w:tcW w:w="450" w:type="dxa"/>
          </w:tcPr>
          <w:p w:rsidR="00DD4EB0" w:rsidRDefault="00DD4EB0" w:rsidP="002B75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DD4EB0" w:rsidRPr="00C25C7A" w:rsidRDefault="00DD4EB0" w:rsidP="001F06CB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1.</w:t>
            </w:r>
          </w:p>
        </w:tc>
        <w:tc>
          <w:tcPr>
            <w:tcW w:w="2340" w:type="dxa"/>
          </w:tcPr>
          <w:p w:rsidR="00DD4EB0" w:rsidRDefault="00DD4EB0" w:rsidP="001F06C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DD4EB0" w:rsidRPr="00D019D1" w:rsidRDefault="00DD4EB0" w:rsidP="00D019D1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Удружење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019D1">
              <w:rPr>
                <w:rFonts w:ascii="Times New Roman" w:hAnsi="Times New Roman"/>
                <w:color w:val="000000"/>
                <w:lang/>
              </w:rPr>
              <w:t>Хан</w:t>
            </w:r>
          </w:p>
        </w:tc>
        <w:tc>
          <w:tcPr>
            <w:tcW w:w="3780" w:type="dxa"/>
          </w:tcPr>
          <w:p w:rsidR="00DD4EB0" w:rsidRDefault="00DD4EB0" w:rsidP="004272C9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sr-Cyrl-CS"/>
              </w:rPr>
            </w:pPr>
          </w:p>
          <w:p w:rsidR="00DD4EB0" w:rsidRPr="00D019D1" w:rsidRDefault="00D019D1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 w:val="sr-Cyrl-CS"/>
              </w:rPr>
              <w:t xml:space="preserve">Школа </w:t>
            </w:r>
            <w:r>
              <w:rPr>
                <w:rFonts w:ascii="Times New Roman" w:hAnsi="Times New Roman"/>
                <w:lang/>
              </w:rPr>
              <w:t>Rock and Roll-a 2</w:t>
            </w:r>
          </w:p>
        </w:tc>
        <w:tc>
          <w:tcPr>
            <w:tcW w:w="2160" w:type="dxa"/>
          </w:tcPr>
          <w:p w:rsidR="00D019D1" w:rsidRDefault="00D019D1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/>
              </w:rPr>
            </w:pPr>
          </w:p>
          <w:p w:rsidR="00DD4EB0" w:rsidRDefault="00D019D1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347.500,00</w:t>
            </w:r>
          </w:p>
          <w:p w:rsidR="00042BCD" w:rsidRPr="00042BCD" w:rsidRDefault="00042BCD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/>
              </w:rPr>
            </w:pPr>
          </w:p>
        </w:tc>
      </w:tr>
      <w:tr w:rsidR="00DD4EB0" w:rsidRPr="00C2360E" w:rsidTr="00042BCD">
        <w:trPr>
          <w:trHeight w:val="1025"/>
        </w:trPr>
        <w:tc>
          <w:tcPr>
            <w:tcW w:w="450" w:type="dxa"/>
          </w:tcPr>
          <w:p w:rsidR="00DD4EB0" w:rsidRDefault="00DD4EB0" w:rsidP="00042B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DD4EB0" w:rsidRPr="00C25C7A" w:rsidRDefault="00DD4EB0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2.</w:t>
            </w:r>
          </w:p>
        </w:tc>
        <w:tc>
          <w:tcPr>
            <w:tcW w:w="2340" w:type="dxa"/>
          </w:tcPr>
          <w:p w:rsidR="00042BCD" w:rsidRDefault="00042BCD" w:rsidP="00042BCD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DD4EB0" w:rsidRPr="000B774D" w:rsidRDefault="00DD4EB0" w:rsidP="00042BCD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Удруже</w:t>
            </w:r>
            <w:r w:rsidR="004272C9">
              <w:rPr>
                <w:rFonts w:ascii="Times New Roman" w:hAnsi="Times New Roman"/>
                <w:color w:val="000000"/>
                <w:lang w:val="sr-Cyrl-CS"/>
              </w:rPr>
              <w:t>њ</w:t>
            </w:r>
            <w:r>
              <w:rPr>
                <w:rFonts w:ascii="Times New Roman" w:hAnsi="Times New Roman"/>
                <w:color w:val="000000"/>
                <w:lang w:val="sr-Cyrl-CS"/>
              </w:rPr>
              <w:t>е грађана „</w:t>
            </w:r>
            <w:r w:rsidR="00042BCD">
              <w:rPr>
                <w:rFonts w:ascii="Times New Roman" w:hAnsi="Times New Roman"/>
                <w:color w:val="000000"/>
                <w:lang/>
              </w:rPr>
              <w:t>Велико срце</w:t>
            </w:r>
            <w:r>
              <w:rPr>
                <w:rFonts w:ascii="Times New Roman" w:hAnsi="Times New Roman"/>
                <w:color w:val="000000"/>
                <w:lang w:val="sr-Cyrl-CS"/>
              </w:rPr>
              <w:t>“</w:t>
            </w:r>
          </w:p>
        </w:tc>
        <w:tc>
          <w:tcPr>
            <w:tcW w:w="3780" w:type="dxa"/>
          </w:tcPr>
          <w:p w:rsidR="00042BCD" w:rsidRDefault="00042BCD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DD4EB0" w:rsidRPr="00761B34" w:rsidRDefault="00042BCD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Млади за бољу </w:t>
            </w: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Лепеницу</w:t>
            </w:r>
            <w:proofErr w:type="spellEnd"/>
          </w:p>
        </w:tc>
        <w:tc>
          <w:tcPr>
            <w:tcW w:w="2160" w:type="dxa"/>
          </w:tcPr>
          <w:p w:rsidR="00042BCD" w:rsidRDefault="00DD4EB0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</w:t>
            </w:r>
          </w:p>
          <w:p w:rsidR="00DD4EB0" w:rsidRPr="0016146A" w:rsidRDefault="00DD4EB0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</w:t>
            </w:r>
            <w:r w:rsidR="00955FFE">
              <w:rPr>
                <w:rFonts w:ascii="Times New Roman" w:hAnsi="Times New Roman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042BCD">
              <w:rPr>
                <w:rFonts w:ascii="Times New Roman" w:hAnsi="Times New Roman"/>
                <w:lang w:val="sr-Cyrl-CS"/>
              </w:rPr>
              <w:t>322.500,00</w:t>
            </w:r>
          </w:p>
        </w:tc>
      </w:tr>
      <w:tr w:rsidR="00042BCD" w:rsidRPr="00C2360E" w:rsidTr="00042BCD">
        <w:trPr>
          <w:trHeight w:val="1025"/>
        </w:trPr>
        <w:tc>
          <w:tcPr>
            <w:tcW w:w="450" w:type="dxa"/>
          </w:tcPr>
          <w:p w:rsidR="00042BCD" w:rsidRDefault="00042BCD" w:rsidP="00042B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042BCD" w:rsidRDefault="00042BCD" w:rsidP="00042B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3</w:t>
            </w:r>
          </w:p>
        </w:tc>
        <w:tc>
          <w:tcPr>
            <w:tcW w:w="2340" w:type="dxa"/>
          </w:tcPr>
          <w:p w:rsidR="00042BCD" w:rsidRDefault="00042BCD" w:rsidP="00042BCD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Велес </w:t>
            </w:r>
          </w:p>
          <w:p w:rsidR="00042BCD" w:rsidRDefault="00042BCD" w:rsidP="00042BCD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Владичин Хан</w:t>
            </w:r>
          </w:p>
        </w:tc>
        <w:tc>
          <w:tcPr>
            <w:tcW w:w="3780" w:type="dxa"/>
          </w:tcPr>
          <w:p w:rsidR="00955FFE" w:rsidRDefault="00955FFE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042BCD" w:rsidRDefault="00955FFE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Афирмација омладинског активизма</w:t>
            </w:r>
          </w:p>
        </w:tc>
        <w:tc>
          <w:tcPr>
            <w:tcW w:w="2160" w:type="dxa"/>
          </w:tcPr>
          <w:p w:rsidR="00042BCD" w:rsidRDefault="00042BCD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</w:p>
          <w:p w:rsidR="00955FFE" w:rsidRDefault="00955FFE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330.000,00</w:t>
            </w:r>
          </w:p>
        </w:tc>
      </w:tr>
    </w:tbl>
    <w:p w:rsidR="002665EF" w:rsidRPr="00BE1AEC" w:rsidRDefault="002665EF" w:rsidP="002665EF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C73B13" w:rsidRDefault="00C73B13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DD4EB0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2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Носилац  одобреног пројекта обавезан је  да у року од осам дана од дана пријема ове Одлуке, достави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а Општинском већу Општине Владичин Хан у два примерка, достави изјаву да средства за реализацију одобреног програма нису на други начин већ обезбеђена као и 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2B723B" w:rsidRDefault="002B723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Корисник одобрених средстава дужан је да у року од 15 дана по завршетку програма односно пројекта за који су додељена буџетска средства, а најкасније до краја текуће године, поднесе извештај о реализацији тих пројеката и достави доказе о наменском коришћењу финансијских средстава  Одељењу за финансије и привреду Општинске управе Општине Владичин Хан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020EE" w:rsidRDefault="002B723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Корисник одобрених средстава обавезан је да омогући праћење реализацију пројекта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Радном телу образованом од стране Општинског већа за праћење реализације програма / пројеката који се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финасирају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из буџета Општине Владичин Хан и истом достави наративни извештај најкасније у року од 15 дана по завршетку програма односно пројекта.</w:t>
      </w:r>
    </w:p>
    <w:p w:rsidR="00777981" w:rsidRPr="008020EE" w:rsidRDefault="00777981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2B723B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 и исту објавити на огласној табли Општинској управи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B723B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има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D14740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</w:t>
      </w:r>
      <w:r w:rsidR="00955FFE">
        <w:rPr>
          <w:rFonts w:ascii="Times New Roman" w:hAnsi="Times New Roman"/>
          <w:sz w:val="24"/>
          <w:szCs w:val="24"/>
          <w:lang w:val="sr-Cyrl-CS"/>
        </w:rPr>
        <w:t>е</w:t>
      </w:r>
      <w:r w:rsidRPr="00777981">
        <w:rPr>
          <w:rFonts w:ascii="Times New Roman" w:hAnsi="Times New Roman"/>
          <w:sz w:val="24"/>
          <w:szCs w:val="24"/>
          <w:lang w:val="sr-Cyrl-CS"/>
        </w:rPr>
        <w:t>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B723B">
        <w:rPr>
          <w:rFonts w:ascii="Times New Roman" w:hAnsi="Times New Roman"/>
          <w:b/>
          <w:sz w:val="24"/>
          <w:szCs w:val="24"/>
          <w:lang w:val="sr-Cyrl-CS"/>
        </w:rPr>
        <w:t>63/</w:t>
      </w:r>
      <w:r w:rsidR="00955FFE">
        <w:rPr>
          <w:rFonts w:ascii="Times New Roman" w:hAnsi="Times New Roman"/>
          <w:b/>
          <w:sz w:val="24"/>
          <w:szCs w:val="24"/>
          <w:lang w:val="sr-Cyrl-CS"/>
        </w:rPr>
        <w:t>7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/1</w:t>
      </w:r>
      <w:r w:rsidR="000F3D28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</w:p>
    <w:p w:rsidR="00BB43B0" w:rsidRDefault="00BB43B0" w:rsidP="00C9553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Р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С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Н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И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К,</w:t>
      </w:r>
    </w:p>
    <w:p w:rsidR="00A74222" w:rsidRPr="00F536AA" w:rsidRDefault="00C9553A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Горан Младеновић</w:t>
      </w:r>
      <w:r w:rsidR="00F536AA">
        <w:rPr>
          <w:rFonts w:ascii="Times New Roman" w:hAnsi="Times New Roman"/>
          <w:sz w:val="24"/>
          <w:szCs w:val="24"/>
          <w:lang w:val="sr-Cyrl-CS"/>
        </w:rPr>
        <w:t>,</w:t>
      </w:r>
    </w:p>
    <w:sectPr w:rsidR="00A74222" w:rsidRPr="00F536AA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D2E"/>
    <w:rsid w:val="00000437"/>
    <w:rsid w:val="00002B68"/>
    <w:rsid w:val="00012C2B"/>
    <w:rsid w:val="00036DC2"/>
    <w:rsid w:val="00042BCD"/>
    <w:rsid w:val="000472E9"/>
    <w:rsid w:val="000604C1"/>
    <w:rsid w:val="000933EF"/>
    <w:rsid w:val="000936AE"/>
    <w:rsid w:val="00094886"/>
    <w:rsid w:val="000B2945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75F08"/>
    <w:rsid w:val="00185C8E"/>
    <w:rsid w:val="00187BD3"/>
    <w:rsid w:val="001A0C72"/>
    <w:rsid w:val="001A745F"/>
    <w:rsid w:val="001B0E40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23B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20C61"/>
    <w:rsid w:val="00425FBA"/>
    <w:rsid w:val="004272C9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3DD7"/>
    <w:rsid w:val="0054753A"/>
    <w:rsid w:val="00555239"/>
    <w:rsid w:val="00563BBE"/>
    <w:rsid w:val="00572E81"/>
    <w:rsid w:val="005833AA"/>
    <w:rsid w:val="00584D8D"/>
    <w:rsid w:val="00586DDC"/>
    <w:rsid w:val="005B0579"/>
    <w:rsid w:val="005C05E7"/>
    <w:rsid w:val="005C0B0D"/>
    <w:rsid w:val="005C1ADE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719F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55FFE"/>
    <w:rsid w:val="00961C84"/>
    <w:rsid w:val="009844BB"/>
    <w:rsid w:val="009846BD"/>
    <w:rsid w:val="00992DEB"/>
    <w:rsid w:val="009D00E0"/>
    <w:rsid w:val="009E6DA2"/>
    <w:rsid w:val="009F0D1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823AB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345A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E70D3"/>
    <w:rsid w:val="00CE7C52"/>
    <w:rsid w:val="00CF2033"/>
    <w:rsid w:val="00CF55BF"/>
    <w:rsid w:val="00D019D1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C048C"/>
    <w:rsid w:val="00DD39F8"/>
    <w:rsid w:val="00DD4EB0"/>
    <w:rsid w:val="00E022D2"/>
    <w:rsid w:val="00E05B46"/>
    <w:rsid w:val="00E06004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1B3C"/>
    <w:rsid w:val="00EE2CD7"/>
    <w:rsid w:val="00EF0012"/>
    <w:rsid w:val="00EF579E"/>
    <w:rsid w:val="00EF5BE4"/>
    <w:rsid w:val="00F0027E"/>
    <w:rsid w:val="00F12781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46</cp:revision>
  <cp:lastPrinted>2019-05-21T08:27:00Z</cp:lastPrinted>
  <dcterms:created xsi:type="dcterms:W3CDTF">2017-05-24T08:46:00Z</dcterms:created>
  <dcterms:modified xsi:type="dcterms:W3CDTF">2019-05-21T08:50:00Z</dcterms:modified>
</cp:coreProperties>
</file>